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2"/>
          <w:szCs w:val="32"/>
          <w:rtl w:val="0"/>
        </w:rPr>
        <w:t xml:space="preserve">Терморегуляторний сенсор Ambrella-TH</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Технічний паспорт</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6.9291338582677"/>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Рекомендуємо зберігати технічний паспорт, інструкцію з експлуатації та гарантійний талон на протязі всього терміну служби виробу.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ЗАХОДИ БЕЗПЕКИ ТА ЗАСТЕРЕЖЕННЯ</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Монтаж та обслуговування терморегулятора повинні виконуватися лише кваліфікованим персоналом при відключеній напрузі, який має дозвіл на даний тип роботи, відповідно з ПУЕ та вимогами безпеки.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Перед використанням терморегулятора уважно ознайомтесь із даним технічним паспортом та інструкцією з експлуатації. Перед підключенням терморегулятора витримайте його не менше 2-х годин в умовах експлуатації (для уникнення конденсації вологи).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Забороняється самостійно вносити зміни та/або ремонтувати терморегулятор.</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При експлуатації та технічному обслуговуванні потрібно виконувати вимоги Правил налаштування електроустановок, Правил технічної експлуатації електроустановок та Правил техніки безпеки при експлуатації електроустановок споживачів.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ТЕХНІЧНІ ХАРАКТЕРИСТИКИ</w:t>
      </w:r>
    </w:p>
    <w:tbl>
      <w:tblPr>
        <w:tblStyle w:val="Table1"/>
        <w:tblW w:w="10353.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5"/>
        <w:gridCol w:w="7088"/>
        <w:tblGridChange w:id="0">
          <w:tblGrid>
            <w:gridCol w:w="3265"/>
            <w:gridCol w:w="7088"/>
          </w:tblGrid>
        </w:tblGridChange>
      </w:tblGrid>
      <w:tr>
        <w:trPr>
          <w:cantSplit w:val="1"/>
          <w:tblHeader w:val="1"/>
        </w:trP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1"/>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333333"/>
                <w:sz w:val="16"/>
                <w:szCs w:val="16"/>
                <w:u w:val="none"/>
                <w:vertAlign w:val="baseline"/>
                <w:rtl w:val="0"/>
              </w:rPr>
              <w:t xml:space="preserve">Параметр</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1"/>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333333"/>
                <w:sz w:val="16"/>
                <w:szCs w:val="16"/>
                <w:u w:val="none"/>
                <w:vertAlign w:val="baseline"/>
                <w:rtl w:val="0"/>
              </w:rPr>
              <w:t xml:space="preserve">Значення</w:t>
            </w:r>
          </w:p>
        </w:tc>
      </w:tr>
      <w:tr>
        <w:trPr>
          <w:cantSplit w:val="1"/>
          <w:tblHeader w:val="1"/>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Діапазон напруги</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110В/250В</w:t>
            </w:r>
            <w:r w:rsidDel="00000000" w:rsidR="00000000" w:rsidRPr="00000000">
              <w:rPr>
                <w:rtl w:val="0"/>
              </w:rPr>
            </w:r>
          </w:p>
        </w:tc>
      </w:tr>
      <w:tr>
        <w:trPr>
          <w:cantSplit w:val="1"/>
          <w:tblHeader w:val="1"/>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Максимальний струм комутації</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10A</w:t>
            </w:r>
          </w:p>
        </w:tc>
      </w:tr>
      <w:tr>
        <w:trPr>
          <w:cantSplit w:val="1"/>
          <w:tblHeader w:val="1"/>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Максимальна потужність</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2</w:t>
            </w:r>
            <w:r w:rsidDel="00000000" w:rsidR="00000000" w:rsidRPr="00000000">
              <w:rPr>
                <w:rFonts w:ascii="Times New Roman" w:cs="Times New Roman" w:eastAsia="Times New Roman" w:hAnsi="Times New Roman"/>
                <w:color w:val="333333"/>
                <w:sz w:val="16"/>
                <w:szCs w:val="16"/>
                <w:rtl w:val="0"/>
              </w:rPr>
              <w:t xml:space="preserve">0</w:t>
            </w: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00W</w:t>
            </w:r>
          </w:p>
        </w:tc>
      </w:tr>
      <w:tr>
        <w:trPr>
          <w:cantSplit w:val="1"/>
          <w:tblHeader w:val="1"/>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Робоча температура</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w:t>
            </w:r>
            <w:r w:rsidDel="00000000" w:rsidR="00000000" w:rsidRPr="00000000">
              <w:rPr>
                <w:rFonts w:ascii="Times New Roman" w:cs="Times New Roman" w:eastAsia="Times New Roman" w:hAnsi="Times New Roman"/>
                <w:color w:val="333333"/>
                <w:sz w:val="16"/>
                <w:szCs w:val="16"/>
                <w:rtl w:val="0"/>
              </w:rPr>
              <w:t xml:space="preserve">30</w:t>
            </w: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w:t>
            </w:r>
            <w:r w:rsidDel="00000000" w:rsidR="00000000" w:rsidRPr="00000000">
              <w:rPr>
                <w:rFonts w:ascii="Times New Roman" w:cs="Times New Roman" w:eastAsia="Times New Roman" w:hAnsi="Times New Roman"/>
                <w:color w:val="333333"/>
                <w:sz w:val="16"/>
                <w:szCs w:val="16"/>
                <w:rtl w:val="0"/>
              </w:rPr>
              <w:t xml:space="preserve">5</w:t>
            </w: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0°C</w:t>
            </w:r>
          </w:p>
        </w:tc>
      </w:tr>
      <w:tr>
        <w:trPr>
          <w:cantSplit w:val="1"/>
          <w:tblHeader w:val="1"/>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Ступінь захисту за ДСТУ</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ІР 20</w:t>
            </w:r>
          </w:p>
        </w:tc>
      </w:tr>
      <w:tr>
        <w:trPr>
          <w:cantSplit w:val="1"/>
          <w:tblHeader w:val="1"/>
        </w:trPr>
        <w:tc>
          <w:tcPr/>
          <w:p w:rsidR="00000000" w:rsidDel="00000000" w:rsidP="00000000" w:rsidRDefault="00000000" w:rsidRPr="00000000" w14:paraId="0000001B">
            <w:pPr>
              <w:shd w:fill="ffffff" w:val="clear"/>
              <w:spacing w:line="276" w:lineRule="auto"/>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Тип керування</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Wi-Fi</w:t>
            </w:r>
            <w:r w:rsidDel="00000000" w:rsidR="00000000" w:rsidRPr="00000000">
              <w:rPr>
                <w:rtl w:val="0"/>
              </w:rPr>
            </w:r>
          </w:p>
        </w:tc>
      </w:tr>
      <w:tr>
        <w:trPr>
          <w:cantSplit w:val="1"/>
          <w:tblHeader w:val="1"/>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Діапазон налаштування температури</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+8°C…+35°C</w:t>
            </w:r>
          </w:p>
        </w:tc>
      </w:tr>
      <w:tr>
        <w:trPr>
          <w:cantSplit w:val="1"/>
          <w:tblHeader w:val="1"/>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Частота Wi-Fi</w:t>
            </w: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2.4GHz</w:t>
            </w:r>
          </w:p>
        </w:tc>
      </w:tr>
      <w:tr>
        <w:trPr>
          <w:cantSplit w:val="1"/>
          <w:tblHeader w:val="1"/>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Спосіб монтажу</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В розетку</w:t>
            </w:r>
            <w:r w:rsidDel="00000000" w:rsidR="00000000" w:rsidRPr="00000000">
              <w:rPr>
                <w:rtl w:val="0"/>
              </w:rPr>
            </w:r>
          </w:p>
        </w:tc>
      </w:tr>
      <w:tr>
        <w:trPr>
          <w:cantSplit w:val="1"/>
          <w:tblHeader w:val="1"/>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Сфера використання</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Для пристроїв «Heat Ceram»</w:t>
            </w:r>
            <w:r w:rsidDel="00000000" w:rsidR="00000000" w:rsidRPr="00000000">
              <w:rPr>
                <w:rtl w:val="0"/>
              </w:rPr>
            </w:r>
          </w:p>
        </w:tc>
      </w:tr>
      <w:tr>
        <w:trPr>
          <w:cantSplit w:val="1"/>
          <w:tblHeader w:val="1"/>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Комплект поставки</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Сенсор, гарантійний талон, інструкція, технічний паспорт, пакувальна коробка</w:t>
            </w: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ТЕХНІЧНЕ ОБСЛУГОВУВАННЯ</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Рекомендована періодичність проведення технічного обслуговування – кожні дванадцять місяців, під час якого необхідно перевіряти надійність під’єднання проводів та цілісність корпусу.</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При очищенні поверхні виробів забороняється використовувати жорсткі предмети та абразивні матеріали, які можуть подряпати поверхню виробу, а також агресивні речовини, що містять кислоти, хлор або його сполуки, розчинники та відбілювачі. Дисплеї і кнопки можна очищати вологою м'якою тканиною. Скляні поверхні допускається чистити безбарвними миючими засобами призначеними для цих цілей. При нанесенні таких засобів не допускається їх розпорошення безпосередньо на поверхню пристрою. Після очищення поверхні можна злегка відполірувати м'якою, сухою ганчіркою.</w:t>
      </w:r>
    </w:p>
    <w:p w:rsidR="00000000" w:rsidDel="00000000" w:rsidP="00000000" w:rsidRDefault="00000000" w:rsidRPr="00000000" w14:paraId="0000002C">
      <w:pPr>
        <w:pStyle w:val="Title"/>
        <w:shd w:fill="ffffff" w:val="clear"/>
        <w:spacing w:before="0" w:line="240" w:lineRule="auto"/>
        <w:ind w:right="51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Style w:val="Title"/>
        <w:shd w:fill="ffffff" w:val="clear"/>
        <w:spacing w:before="0" w:line="240" w:lineRule="auto"/>
        <w:ind w:right="51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Умови гарантії</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525" w:firstLine="567"/>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При купівлі виробу вимагайте заповнення гарантійного талона. До моменту заповнення Гарантійного талона просимо вас оглянути виріб і перевірити комплектність. Претензії щодо механічних пошкоджень зовнішньої поверхні та некомплектності після продажу не приймаються.</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525" w:firstLine="567"/>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Для гарантійного ремонту необхідно пред'явити Гарантійний талон разом з чеком, де вказана дата покупки. Без пред'явлення даного талона, його неправильному заповненні або при відсутності печатки торгуючої організації, претензії до якості товару не приймаються і ремонт не проводиться.</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Тривалість гарантійного обслуговування 36 місяців починаючи з дати купівлі.</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bl>
      <w:tblPr>
        <w:tblStyle w:val="Table2"/>
        <w:tblW w:w="10372.0" w:type="dxa"/>
        <w:jc w:val="left"/>
        <w:tblInd w:w="180.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2991"/>
        <w:gridCol w:w="2202"/>
        <w:gridCol w:w="2202"/>
        <w:tblGridChange w:id="0">
          <w:tblGrid>
            <w:gridCol w:w="2977"/>
            <w:gridCol w:w="2991"/>
            <w:gridCol w:w="2202"/>
            <w:gridCol w:w="2202"/>
          </w:tblGrid>
        </w:tblGridChange>
      </w:tblGrid>
      <w:tr>
        <w:trPr>
          <w:cantSplit w:val="0"/>
          <w:trHeight w:val="237" w:hRule="atLeast"/>
          <w:tblHeader w:val="0"/>
        </w:trPr>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62" w:right="142"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Модель</w:t>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Комплектація</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9"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Термін обслуговування</w:t>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Термін гарантії</w:t>
            </w:r>
          </w:p>
        </w:tc>
      </w:tr>
      <w:tr>
        <w:trPr>
          <w:cantSplit w:val="0"/>
          <w:trHeight w:val="143" w:hRule="atLeast"/>
          <w:tblHeader w:val="0"/>
        </w:trP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 w:right="357"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r>
      <w:tr>
        <w:trPr>
          <w:cantSplit w:val="0"/>
          <w:trHeight w:val="133" w:hRule="atLeast"/>
          <w:tblHeader w:val="0"/>
        </w:trPr>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 w:right="355"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67" w:right="141"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r>
      <w:tr>
        <w:trPr>
          <w:cantSplit w:val="0"/>
          <w:trHeight w:val="149" w:hRule="atLeast"/>
          <w:tblHeader w:val="0"/>
        </w:trPr>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 w:right="357"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r>
    </w:tbl>
    <w:p w:rsidR="00000000" w:rsidDel="00000000" w:rsidP="00000000" w:rsidRDefault="00000000" w:rsidRPr="00000000" w14:paraId="00000043">
      <w:pPr>
        <w:pStyle w:val="Heading1"/>
        <w:shd w:fill="ffffff" w:val="clear"/>
        <w:tabs>
          <w:tab w:val="left" w:leader="none" w:pos="1323"/>
        </w:tabs>
        <w:spacing w:before="0" w:line="240" w:lineRule="auto"/>
        <w:ind w:left="1322" w:firstLine="0"/>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44">
      <w:pPr>
        <w:pStyle w:val="Heading1"/>
        <w:shd w:fill="ffffff" w:val="clear"/>
        <w:tabs>
          <w:tab w:val="left" w:leader="none" w:pos="1323"/>
          <w:tab w:val="left" w:leader="none" w:pos="1440"/>
          <w:tab w:val="left" w:leader="none" w:pos="2160"/>
          <w:tab w:val="left" w:leader="none" w:pos="2880"/>
          <w:tab w:val="left" w:leader="none" w:pos="3600"/>
          <w:tab w:val="left" w:leader="none" w:pos="4320"/>
          <w:tab w:val="left" w:leader="none" w:pos="5040"/>
          <w:tab w:val="left" w:leader="none" w:pos="5760"/>
        </w:tabs>
        <w:spacing w:before="0" w:line="240" w:lineRule="auto"/>
        <w:ind w:left="1322" w:firstLine="0"/>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ab/>
      </w:r>
    </w:p>
    <w:p w:rsidR="00000000" w:rsidDel="00000000" w:rsidP="00000000" w:rsidRDefault="00000000" w:rsidRPr="00000000" w14:paraId="00000045">
      <w:pPr>
        <w:pStyle w:val="Heading1"/>
        <w:shd w:fill="ffffff" w:val="clear"/>
        <w:tabs>
          <w:tab w:val="left" w:leader="none" w:pos="1323"/>
          <w:tab w:val="left" w:leader="none" w:pos="1440"/>
          <w:tab w:val="left" w:leader="none" w:pos="2160"/>
          <w:tab w:val="left" w:leader="none" w:pos="2880"/>
          <w:tab w:val="left" w:leader="none" w:pos="3600"/>
          <w:tab w:val="left" w:leader="none" w:pos="4320"/>
          <w:tab w:val="left" w:leader="none" w:pos="5040"/>
          <w:tab w:val="left" w:leader="none" w:pos="5760"/>
        </w:tabs>
        <w:spacing w:before="0" w:line="240" w:lineRule="auto"/>
        <w:ind w:left="1322" w:firstLine="0"/>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ab/>
        <w:t xml:space="preserve">Підпис_______________</w:t>
        <w:tab/>
        <w:tab/>
        <w:tab/>
        <w:tab/>
        <w:tab/>
        <w:tab/>
        <w:tab/>
        <w:tab/>
        <w:t xml:space="preserve">Дата _____________</w:t>
        <w:tab/>
      </w:r>
    </w:p>
    <w:p w:rsidR="00000000" w:rsidDel="00000000" w:rsidP="00000000" w:rsidRDefault="00000000" w:rsidRPr="00000000" w14:paraId="00000046">
      <w:pPr>
        <w:pStyle w:val="Heading1"/>
        <w:shd w:fill="ffffff" w:val="clear"/>
        <w:tabs>
          <w:tab w:val="left" w:leader="none" w:pos="0"/>
        </w:tabs>
        <w:spacing w:before="0" w:line="240" w:lineRule="auto"/>
        <w:ind w:firstLine="567"/>
        <w:rPr>
          <w:rFonts w:ascii="Times New Roman" w:cs="Times New Roman" w:eastAsia="Times New Roman" w:hAnsi="Times New Roman"/>
          <w:b w:val="0"/>
          <w:sz w:val="16"/>
          <w:szCs w:val="16"/>
        </w:rPr>
      </w:pPr>
      <w:bookmarkStart w:colFirst="0" w:colLast="0" w:name="_30j0zll" w:id="1"/>
      <w:bookmarkEnd w:id="1"/>
      <w:r w:rsidDel="00000000" w:rsidR="00000000" w:rsidRPr="00000000">
        <w:rPr>
          <w:rtl w:val="0"/>
        </w:rPr>
      </w:r>
    </w:p>
    <w:p w:rsidR="00000000" w:rsidDel="00000000" w:rsidP="00000000" w:rsidRDefault="00000000" w:rsidRPr="00000000" w14:paraId="00000047">
      <w:pPr>
        <w:pStyle w:val="Heading1"/>
        <w:shd w:fill="ffffff" w:val="clear"/>
        <w:tabs>
          <w:tab w:val="left" w:leader="none" w:pos="0"/>
        </w:tabs>
        <w:spacing w:before="0" w:line="240" w:lineRule="auto"/>
        <w:ind w:firstLine="567"/>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Гарантія поширюється на приховані дефекти виробів, які будуть виявлені під час гарантійного терміну.</w:t>
        <w:tab/>
      </w:r>
    </w:p>
    <w:p w:rsidR="00000000" w:rsidDel="00000000" w:rsidP="00000000" w:rsidRDefault="00000000" w:rsidRPr="00000000" w14:paraId="00000048">
      <w:pPr>
        <w:pStyle w:val="Heading1"/>
        <w:shd w:fill="ffffff" w:val="clear"/>
        <w:tabs>
          <w:tab w:val="left" w:leader="none" w:pos="709"/>
        </w:tabs>
        <w:spacing w:after="0" w:before="0" w:line="240" w:lineRule="auto"/>
        <w:ind w:firstLine="567"/>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Гарантія не покриває будь-які додаткові витрати кінцевого користувача і третіх осіб, що виникли внаслідок виходу виробу з ладу. Перелік таких витрат включає, але не обмежується наступними витратами:</w:t>
      </w:r>
    </w:p>
    <w:p w:rsidR="00000000" w:rsidDel="00000000" w:rsidP="00000000" w:rsidRDefault="00000000" w:rsidRPr="00000000" w14:paraId="00000049">
      <w:pPr>
        <w:pStyle w:val="Heading1"/>
        <w:shd w:fill="ffffff" w:val="clear"/>
        <w:tabs>
          <w:tab w:val="left" w:leader="none" w:pos="709"/>
        </w:tabs>
        <w:spacing w:after="0" w:before="0" w:line="240" w:lineRule="auto"/>
        <w:ind w:firstLine="426"/>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монтаж і демонтаж виробу,</w:t>
      </w:r>
    </w:p>
    <w:p w:rsidR="00000000" w:rsidDel="00000000" w:rsidP="00000000" w:rsidRDefault="00000000" w:rsidRPr="00000000" w14:paraId="0000004A">
      <w:pPr>
        <w:pStyle w:val="Heading1"/>
        <w:shd w:fill="ffffff" w:val="clear"/>
        <w:tabs>
          <w:tab w:val="left" w:leader="none" w:pos="709"/>
        </w:tabs>
        <w:spacing w:after="0" w:before="0" w:line="240" w:lineRule="auto"/>
        <w:ind w:firstLine="426"/>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транспортні витрати на транспортування виробу (крім витрат на пересилку виробу в/з сервісного центру в разі визнання випадку гарантійним),</w:t>
      </w:r>
    </w:p>
    <w:p w:rsidR="00000000" w:rsidDel="00000000" w:rsidP="00000000" w:rsidRDefault="00000000" w:rsidRPr="00000000" w14:paraId="0000004B">
      <w:pPr>
        <w:pStyle w:val="Heading1"/>
        <w:shd w:fill="ffffff" w:val="clear"/>
        <w:tabs>
          <w:tab w:val="left" w:leader="none" w:pos="0"/>
        </w:tabs>
        <w:spacing w:after="0" w:before="0" w:line="240" w:lineRule="auto"/>
        <w:ind w:firstLine="426"/>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компенсацію будь-якого збитку пов'язаного з виходом з роботи виробу.</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Більше інформації Ви можете отримати на сайті  https://www.</w:t>
      </w:r>
      <w:r w:rsidDel="00000000" w:rsidR="00000000" w:rsidRPr="00000000">
        <w:rPr>
          <w:rFonts w:ascii="Times New Roman" w:cs="Times New Roman" w:eastAsia="Times New Roman" w:hAnsi="Times New Roman"/>
          <w:sz w:val="20"/>
          <w:szCs w:val="20"/>
          <w:rtl w:val="0"/>
        </w:rPr>
        <w:t xml:space="preserve">heatceram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.com.ua</w:t>
      </w:r>
    </w:p>
    <w:p w:rsidR="00000000" w:rsidDel="00000000" w:rsidP="00000000" w:rsidRDefault="00000000" w:rsidRPr="00000000" w14:paraId="0000004E">
      <w:pPr>
        <w:pStyle w:val="Heading1"/>
        <w:shd w:fill="ffffff" w:val="clear"/>
        <w:tabs>
          <w:tab w:val="left" w:leader="none" w:pos="1323"/>
        </w:tabs>
        <w:spacing w:after="0" w:before="0" w:line="240" w:lineRule="auto"/>
        <w:ind w:left="1322"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sectPr>
      <w:footerReference r:id="rId6" w:type="default"/>
      <w:pgSz w:h="16340" w:w="12240" w:orient="portrait"/>
      <w:pgMar w:bottom="128" w:top="291" w:left="709" w:right="47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